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KUR’AN’DA MESANİ AYETLER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Aktoz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Kur’an, olayları hep ikili, karşıtlı olarak anlatır: Gök, yer; cennet, cehennem; melek, şeytan; emir, nehiy; va’d ve va’id. Bunlar birbiri ardından anlatılır. Müminlerin hali anlatıldıktan sonra kâfirlerin hâli; Allah’ın gökteki kudret işaretlerinin ardından yerdeki kudret işaretleri; zamandaki tevhîd kanıtlarının ardından mekândaki tevhid kanıtları anlatılır. Ve her şey zıddıyla anlatılınca daha iyi kavranır.</w:t>
            </w:r>
            <w:br/>
            <w:r>
              <w:rPr/>
              <w:t xml:space="preserve">Kur’an’daki bu karşıtlık üslûbu, ruhta derin etki yapar. Allah’tan korkanlar, Kur’an’ı dinleyince o kadar etkilenirler ki tüyleri diken diken olur. Allah’ı anmakla gönülleri yumuşar, ruhları duygulanır.</w:t>
            </w:r>
            <w:br/>
            <w:r>
              <w:rPr/>
              <w:t xml:space="preserve">Sayın Aktoz’un dikkatini çeken husus da Mesani üslûbunun farklı bir yönüdür. Kur’an’da çeşitli surelerde aynı konudan söz eden ayetler aynı numarayı taşımaktadır.</w:t>
            </w:r>
            <w:br/>
            <w:r>
              <w:rPr/>
              <w:t xml:space="preserve">Tesadüfe yorumlanmayacak bu olay, Kur’an’daki mucizevi mesani üslubunun başka bir vechesidir. Dikkatli incelemesiyle bu vecheyi fark eden Sayın İbrahim Aktoz’u kutlarım.</w:t>
            </w:r>
            <w:br/>
            <w:r>
              <w:rPr/>
              <w:t xml:space="preserve">Prof. Dr. Süleyman Ateş</w:t>
            </w:r>
            <w:br/>
            <w:r>
              <w:rPr/>
              <w:t xml:space="preserve">Diyanet İşleri Eski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https://www.hayatyayinlari.com/kitaplar/ibrahim-aktoz-kuranda-mesani-ayetler-1061.html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2025-10-29T13:57:49+03:00</dcterms:created>
  <dcterms:modified xsi:type="dcterms:W3CDTF">2025-10-29T13:57:49+03:00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